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2820"/>
      </w:tblGrid>
      <w:tr w:rsidR="00B320C3">
        <w:tblPrEx>
          <w:tblCellMar>
            <w:top w:w="0" w:type="dxa"/>
            <w:bottom w:w="0" w:type="dxa"/>
          </w:tblCellMar>
        </w:tblPrEx>
        <w:tc>
          <w:tcPr>
            <w:tcW w:w="2820" w:type="dxa"/>
            <w:tcMar>
              <w:top w:w="160" w:type="nil"/>
              <w:left w:w="160" w:type="nil"/>
              <w:bottom w:w="160" w:type="nil"/>
              <w:right w:w="160" w:type="nil"/>
            </w:tcMar>
            <w:vAlign w:val="center"/>
          </w:tcPr>
          <w:p w:rsidR="00B320C3" w:rsidRDefault="00B320C3">
            <w:pPr>
              <w:widowControl w:val="0"/>
              <w:autoSpaceDE w:val="0"/>
              <w:autoSpaceDN w:val="0"/>
              <w:adjustRightInd w:val="0"/>
              <w:rPr>
                <w:rFonts w:ascii="Verdana" w:hAnsi="Verdana" w:cs="Verdana"/>
                <w:sz w:val="32"/>
                <w:szCs w:val="32"/>
              </w:rPr>
            </w:pPr>
          </w:p>
        </w:tc>
      </w:tr>
    </w:tbl>
    <w:p w:rsidR="00B320C3" w:rsidRDefault="00B320C3" w:rsidP="00B320C3">
      <w:pPr>
        <w:widowControl w:val="0"/>
        <w:autoSpaceDE w:val="0"/>
        <w:autoSpaceDN w:val="0"/>
        <w:adjustRightInd w:val="0"/>
        <w:rPr>
          <w:rFonts w:ascii="Arial" w:hAnsi="Arial" w:cs="Arial"/>
          <w:sz w:val="32"/>
          <w:szCs w:val="32"/>
        </w:rPr>
      </w:pPr>
      <w:r>
        <w:rPr>
          <w:rFonts w:ascii="Verdana" w:hAnsi="Verdana" w:cs="Verdana"/>
          <w:b/>
          <w:bCs/>
          <w:color w:val="052456"/>
          <w:sz w:val="32"/>
          <w:szCs w:val="32"/>
        </w:rPr>
        <w:t>Le labyrinthe</w:t>
      </w:r>
    </w:p>
    <w:p w:rsidR="00B320C3" w:rsidRDefault="00B320C3" w:rsidP="00B320C3">
      <w:pPr>
        <w:widowControl w:val="0"/>
        <w:autoSpaceDE w:val="0"/>
        <w:autoSpaceDN w:val="0"/>
        <w:adjustRightInd w:val="0"/>
        <w:rPr>
          <w:rFonts w:ascii="Arial" w:hAnsi="Arial" w:cs="Arial"/>
          <w:sz w:val="26"/>
          <w:szCs w:val="26"/>
        </w:rPr>
      </w:pPr>
    </w:p>
    <w:p w:rsidR="00B320C3" w:rsidRDefault="00B320C3" w:rsidP="00B320C3">
      <w:pPr>
        <w:widowControl w:val="0"/>
        <w:autoSpaceDE w:val="0"/>
        <w:autoSpaceDN w:val="0"/>
        <w:adjustRightInd w:val="0"/>
        <w:rPr>
          <w:rFonts w:ascii="Arial" w:hAnsi="Arial" w:cs="Arial"/>
          <w:sz w:val="26"/>
          <w:szCs w:val="26"/>
        </w:rPr>
      </w:pPr>
    </w:p>
    <w:p w:rsidR="00B320C3" w:rsidRDefault="00B320C3" w:rsidP="00B320C3">
      <w:pPr>
        <w:widowControl w:val="0"/>
        <w:autoSpaceDE w:val="0"/>
        <w:autoSpaceDN w:val="0"/>
        <w:adjustRightInd w:val="0"/>
        <w:spacing w:after="260"/>
        <w:rPr>
          <w:rFonts w:ascii="Arial" w:hAnsi="Arial" w:cs="Arial"/>
          <w:sz w:val="26"/>
          <w:szCs w:val="26"/>
        </w:rPr>
      </w:pPr>
    </w:p>
    <w:tbl>
      <w:tblPr>
        <w:tblW w:w="85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302"/>
        <w:gridCol w:w="4238"/>
      </w:tblGrid>
      <w:tr w:rsidR="00B320C3">
        <w:tblPrEx>
          <w:tblCellMar>
            <w:top w:w="0" w:type="dxa"/>
            <w:bottom w:w="0" w:type="dxa"/>
          </w:tblCellMar>
        </w:tblPrEx>
        <w:tc>
          <w:tcPr>
            <w:tcW w:w="406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B320C3" w:rsidRDefault="00B320C3">
            <w:pPr>
              <w:widowControl w:val="0"/>
              <w:autoSpaceDE w:val="0"/>
              <w:autoSpaceDN w:val="0"/>
              <w:adjustRightInd w:val="0"/>
              <w:rPr>
                <w:rFonts w:ascii="Arial" w:hAnsi="Arial" w:cs="Arial"/>
                <w:sz w:val="26"/>
                <w:szCs w:val="26"/>
              </w:rPr>
            </w:pPr>
            <w:r>
              <w:rPr>
                <w:rFonts w:ascii="Arial" w:hAnsi="Arial" w:cs="Arial"/>
                <w:sz w:val="26"/>
                <w:szCs w:val="26"/>
              </w:rPr>
              <w:t>Compétences exercées</w:t>
            </w:r>
          </w:p>
          <w:p w:rsidR="00B320C3" w:rsidRDefault="00B320C3">
            <w:pPr>
              <w:widowControl w:val="0"/>
              <w:autoSpaceDE w:val="0"/>
              <w:autoSpaceDN w:val="0"/>
              <w:adjustRightInd w:val="0"/>
              <w:rPr>
                <w:rFonts w:ascii="Arial" w:hAnsi="Arial" w:cs="Arial"/>
                <w:sz w:val="26"/>
                <w:szCs w:val="26"/>
              </w:rPr>
            </w:pPr>
            <w:r>
              <w:rPr>
                <w:rFonts w:ascii="Arial" w:hAnsi="Arial" w:cs="Arial"/>
                <w:b/>
                <w:bCs/>
                <w:sz w:val="26"/>
                <w:szCs w:val="26"/>
              </w:rPr>
              <w:t>- Mémoriser</w:t>
            </w:r>
          </w:p>
          <w:p w:rsidR="00B320C3" w:rsidRDefault="00B320C3">
            <w:pPr>
              <w:widowControl w:val="0"/>
              <w:autoSpaceDE w:val="0"/>
              <w:autoSpaceDN w:val="0"/>
              <w:adjustRightInd w:val="0"/>
              <w:rPr>
                <w:rFonts w:ascii="Arial" w:hAnsi="Arial" w:cs="Arial"/>
                <w:sz w:val="26"/>
                <w:szCs w:val="26"/>
              </w:rPr>
            </w:pPr>
            <w:r>
              <w:rPr>
                <w:rFonts w:ascii="Arial" w:hAnsi="Arial" w:cs="Arial"/>
                <w:b/>
                <w:bCs/>
                <w:sz w:val="26"/>
                <w:szCs w:val="26"/>
              </w:rPr>
              <w:t>- Construire du sens</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B320C3" w:rsidRDefault="00B320C3">
            <w:pPr>
              <w:widowControl w:val="0"/>
              <w:autoSpaceDE w:val="0"/>
              <w:autoSpaceDN w:val="0"/>
              <w:adjustRightInd w:val="0"/>
              <w:rPr>
                <w:rFonts w:ascii="Arial" w:hAnsi="Arial" w:cs="Arial"/>
                <w:sz w:val="26"/>
                <w:szCs w:val="26"/>
              </w:rPr>
            </w:pPr>
            <w:r>
              <w:rPr>
                <w:rFonts w:ascii="Arial" w:hAnsi="Arial" w:cs="Arial"/>
                <w:sz w:val="26"/>
                <w:szCs w:val="26"/>
              </w:rPr>
              <w:t>Savoir-faire linguistiques</w:t>
            </w:r>
          </w:p>
          <w:p w:rsidR="00B320C3" w:rsidRDefault="00B320C3">
            <w:pPr>
              <w:widowControl w:val="0"/>
              <w:autoSpaceDE w:val="0"/>
              <w:autoSpaceDN w:val="0"/>
              <w:adjustRightInd w:val="0"/>
              <w:rPr>
                <w:rFonts w:ascii="Arial" w:hAnsi="Arial" w:cs="Arial"/>
                <w:sz w:val="26"/>
                <w:szCs w:val="26"/>
              </w:rPr>
            </w:pPr>
            <w:r>
              <w:rPr>
                <w:rFonts w:ascii="Arial" w:hAnsi="Arial" w:cs="Arial"/>
                <w:b/>
                <w:bCs/>
                <w:sz w:val="26"/>
                <w:szCs w:val="26"/>
              </w:rPr>
              <w:t>- Comprendre (écouter, lire)</w:t>
            </w:r>
          </w:p>
        </w:tc>
      </w:tr>
      <w:tr w:rsidR="00B320C3">
        <w:tblPrEx>
          <w:tblBorders>
            <w:top w:val="none" w:sz="0" w:space="0" w:color="auto"/>
            <w:bottom w:val="single" w:sz="8" w:space="0" w:color="6D6D6D"/>
          </w:tblBorders>
          <w:tblCellMar>
            <w:top w:w="0" w:type="dxa"/>
            <w:bottom w:w="0" w:type="dxa"/>
          </w:tblCellMar>
        </w:tblPrEx>
        <w:tc>
          <w:tcPr>
            <w:tcW w:w="406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B320C3" w:rsidRDefault="00B320C3">
            <w:pPr>
              <w:widowControl w:val="0"/>
              <w:autoSpaceDE w:val="0"/>
              <w:autoSpaceDN w:val="0"/>
              <w:adjustRightInd w:val="0"/>
              <w:rPr>
                <w:rFonts w:ascii="Arial" w:hAnsi="Arial" w:cs="Arial"/>
                <w:sz w:val="26"/>
                <w:szCs w:val="26"/>
              </w:rPr>
            </w:pPr>
            <w:r>
              <w:rPr>
                <w:rFonts w:ascii="Arial" w:hAnsi="Arial" w:cs="Arial"/>
                <w:sz w:val="26"/>
                <w:szCs w:val="26"/>
              </w:rPr>
              <w:t>Organisation de la classe</w:t>
            </w:r>
          </w:p>
          <w:p w:rsidR="00B320C3" w:rsidRDefault="00B320C3">
            <w:pPr>
              <w:widowControl w:val="0"/>
              <w:autoSpaceDE w:val="0"/>
              <w:autoSpaceDN w:val="0"/>
              <w:adjustRightInd w:val="0"/>
              <w:rPr>
                <w:rFonts w:ascii="Arial" w:hAnsi="Arial" w:cs="Arial"/>
                <w:sz w:val="26"/>
                <w:szCs w:val="26"/>
              </w:rPr>
            </w:pPr>
            <w:r>
              <w:rPr>
                <w:rFonts w:ascii="Arial" w:hAnsi="Arial" w:cs="Arial"/>
                <w:b/>
                <w:bCs/>
                <w:sz w:val="26"/>
                <w:szCs w:val="26"/>
              </w:rPr>
              <w:t>- Individuelle</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B320C3" w:rsidRDefault="00B320C3">
            <w:pPr>
              <w:widowControl w:val="0"/>
              <w:autoSpaceDE w:val="0"/>
              <w:autoSpaceDN w:val="0"/>
              <w:adjustRightInd w:val="0"/>
              <w:rPr>
                <w:rFonts w:ascii="Arial" w:hAnsi="Arial" w:cs="Arial"/>
                <w:sz w:val="26"/>
                <w:szCs w:val="26"/>
              </w:rPr>
            </w:pPr>
          </w:p>
          <w:p w:rsidR="00B320C3" w:rsidRDefault="00B320C3">
            <w:pPr>
              <w:widowControl w:val="0"/>
              <w:autoSpaceDE w:val="0"/>
              <w:autoSpaceDN w:val="0"/>
              <w:adjustRightInd w:val="0"/>
              <w:rPr>
                <w:rFonts w:ascii="Arial" w:hAnsi="Arial" w:cs="Arial"/>
                <w:sz w:val="26"/>
                <w:szCs w:val="26"/>
              </w:rPr>
            </w:pPr>
            <w:r>
              <w:rPr>
                <w:rFonts w:ascii="Arial" w:hAnsi="Arial" w:cs="Arial"/>
                <w:b/>
                <w:bCs/>
                <w:sz w:val="26"/>
                <w:szCs w:val="26"/>
              </w:rPr>
              <w:t>Avec matériel spécifique</w:t>
            </w:r>
          </w:p>
        </w:tc>
      </w:tr>
    </w:tbl>
    <w:p w:rsidR="00B320C3" w:rsidRDefault="00B320C3" w:rsidP="00B320C3">
      <w:pPr>
        <w:widowControl w:val="0"/>
        <w:autoSpaceDE w:val="0"/>
        <w:autoSpaceDN w:val="0"/>
        <w:adjustRightInd w:val="0"/>
        <w:spacing w:after="260"/>
        <w:rPr>
          <w:rFonts w:ascii="Arial" w:hAnsi="Arial" w:cs="Arial"/>
          <w:sz w:val="26"/>
          <w:szCs w:val="26"/>
        </w:rPr>
      </w:pPr>
    </w:p>
    <w:p w:rsidR="00B320C3" w:rsidRDefault="00B320C3" w:rsidP="00B320C3">
      <w:pPr>
        <w:widowControl w:val="0"/>
        <w:autoSpaceDE w:val="0"/>
        <w:autoSpaceDN w:val="0"/>
        <w:adjustRightInd w:val="0"/>
        <w:rPr>
          <w:rFonts w:ascii="Arial" w:hAnsi="Arial" w:cs="Arial"/>
          <w:sz w:val="26"/>
          <w:szCs w:val="26"/>
        </w:rPr>
      </w:pPr>
      <w:r>
        <w:rPr>
          <w:rFonts w:ascii="Arial" w:hAnsi="Arial" w:cs="Arial"/>
          <w:b/>
          <w:bCs/>
          <w:sz w:val="26"/>
          <w:szCs w:val="26"/>
        </w:rPr>
        <w:t xml:space="preserve">Objectif visé </w:t>
      </w:r>
      <w:r>
        <w:rPr>
          <w:rFonts w:ascii="Arial" w:hAnsi="Arial" w:cs="Arial"/>
          <w:sz w:val="26"/>
          <w:szCs w:val="26"/>
        </w:rPr>
        <w:t xml:space="preserve">: savoir identifier un objet. </w:t>
      </w:r>
    </w:p>
    <w:p w:rsidR="00B320C3" w:rsidRDefault="00B320C3" w:rsidP="00B320C3">
      <w:pPr>
        <w:widowControl w:val="0"/>
        <w:autoSpaceDE w:val="0"/>
        <w:autoSpaceDN w:val="0"/>
        <w:adjustRightInd w:val="0"/>
        <w:rPr>
          <w:rFonts w:ascii="Arial" w:hAnsi="Arial" w:cs="Arial"/>
          <w:sz w:val="26"/>
          <w:szCs w:val="26"/>
        </w:rPr>
      </w:pPr>
      <w:r>
        <w:rPr>
          <w:rFonts w:ascii="Verdana" w:hAnsi="Verdana" w:cs="Verdana"/>
          <w:b/>
          <w:bCs/>
          <w:color w:val="052456"/>
          <w:sz w:val="26"/>
          <w:szCs w:val="26"/>
        </w:rPr>
        <w:t>Connaissances préalables</w:t>
      </w:r>
    </w:p>
    <w:p w:rsidR="00B320C3" w:rsidRDefault="00B320C3" w:rsidP="00B320C3">
      <w:pPr>
        <w:widowControl w:val="0"/>
        <w:autoSpaceDE w:val="0"/>
        <w:autoSpaceDN w:val="0"/>
        <w:adjustRightInd w:val="0"/>
        <w:rPr>
          <w:rFonts w:ascii="Arial" w:hAnsi="Arial" w:cs="Arial"/>
          <w:sz w:val="26"/>
          <w:szCs w:val="26"/>
        </w:rPr>
      </w:pPr>
      <w:r>
        <w:rPr>
          <w:rFonts w:ascii="Arial" w:hAnsi="Arial" w:cs="Arial"/>
          <w:sz w:val="26"/>
          <w:szCs w:val="26"/>
        </w:rPr>
        <w:t xml:space="preserve">Lexique se rapportant aux images. </w:t>
      </w:r>
    </w:p>
    <w:p w:rsidR="00B320C3" w:rsidRDefault="00B320C3" w:rsidP="00B320C3">
      <w:pPr>
        <w:widowControl w:val="0"/>
        <w:autoSpaceDE w:val="0"/>
        <w:autoSpaceDN w:val="0"/>
        <w:adjustRightInd w:val="0"/>
        <w:rPr>
          <w:rFonts w:ascii="Arial" w:hAnsi="Arial" w:cs="Arial"/>
          <w:sz w:val="26"/>
          <w:szCs w:val="26"/>
        </w:rPr>
      </w:pPr>
      <w:r>
        <w:rPr>
          <w:rFonts w:ascii="Verdana" w:hAnsi="Verdana" w:cs="Verdana"/>
          <w:b/>
          <w:bCs/>
          <w:color w:val="052456"/>
          <w:sz w:val="26"/>
          <w:szCs w:val="26"/>
        </w:rPr>
        <w:t>Matériel</w:t>
      </w:r>
    </w:p>
    <w:p w:rsidR="00B320C3" w:rsidRDefault="00B320C3" w:rsidP="00B320C3">
      <w:pPr>
        <w:widowControl w:val="0"/>
        <w:autoSpaceDE w:val="0"/>
        <w:autoSpaceDN w:val="0"/>
        <w:adjustRightInd w:val="0"/>
        <w:rPr>
          <w:rFonts w:ascii="Arial" w:hAnsi="Arial" w:cs="Arial"/>
          <w:sz w:val="26"/>
          <w:szCs w:val="26"/>
        </w:rPr>
      </w:pPr>
      <w:r>
        <w:rPr>
          <w:rFonts w:ascii="Arial" w:hAnsi="Arial" w:cs="Arial"/>
          <w:sz w:val="26"/>
          <w:szCs w:val="26"/>
        </w:rPr>
        <w:t xml:space="preserve">Une </w:t>
      </w:r>
      <w:hyperlink r:id="rId5" w:history="1">
        <w:r>
          <w:rPr>
            <w:rFonts w:ascii="Arial" w:hAnsi="Arial" w:cs="Arial"/>
            <w:color w:val="0000F5"/>
            <w:sz w:val="26"/>
            <w:szCs w:val="26"/>
            <w:u w:val="single" w:color="0000F5"/>
          </w:rPr>
          <w:t>fiche labyrinthe</w:t>
        </w:r>
      </w:hyperlink>
      <w:r>
        <w:rPr>
          <w:rFonts w:ascii="Arial" w:hAnsi="Arial" w:cs="Arial"/>
          <w:sz w:val="26"/>
          <w:szCs w:val="26"/>
        </w:rPr>
        <w:t xml:space="preserve"> (</w:t>
      </w:r>
      <w:proofErr w:type="spellStart"/>
      <w:r>
        <w:rPr>
          <w:rFonts w:ascii="Arial" w:hAnsi="Arial" w:cs="Arial"/>
          <w:sz w:val="26"/>
          <w:szCs w:val="26"/>
        </w:rPr>
        <w:t>pdf</w:t>
      </w:r>
      <w:proofErr w:type="spellEnd"/>
      <w:r>
        <w:rPr>
          <w:rFonts w:ascii="Arial" w:hAnsi="Arial" w:cs="Arial"/>
          <w:sz w:val="26"/>
          <w:szCs w:val="26"/>
        </w:rPr>
        <w:t xml:space="preserve">, 54 Ko) par élève. </w:t>
      </w:r>
    </w:p>
    <w:p w:rsidR="00B320C3" w:rsidRDefault="00B320C3" w:rsidP="00B320C3">
      <w:pPr>
        <w:widowControl w:val="0"/>
        <w:autoSpaceDE w:val="0"/>
        <w:autoSpaceDN w:val="0"/>
        <w:adjustRightInd w:val="0"/>
        <w:rPr>
          <w:rFonts w:ascii="Arial" w:hAnsi="Arial" w:cs="Arial"/>
          <w:sz w:val="26"/>
          <w:szCs w:val="26"/>
        </w:rPr>
      </w:pPr>
      <w:r>
        <w:rPr>
          <w:rFonts w:ascii="Verdana" w:hAnsi="Verdana" w:cs="Verdana"/>
          <w:b/>
          <w:bCs/>
          <w:color w:val="052456"/>
          <w:sz w:val="26"/>
          <w:szCs w:val="26"/>
        </w:rPr>
        <w:t>Déroulement</w:t>
      </w:r>
    </w:p>
    <w:p w:rsidR="00B320C3" w:rsidRDefault="00B320C3" w:rsidP="00B320C3">
      <w:pPr>
        <w:widowControl w:val="0"/>
        <w:autoSpaceDE w:val="0"/>
        <w:autoSpaceDN w:val="0"/>
        <w:adjustRightInd w:val="0"/>
        <w:rPr>
          <w:rFonts w:ascii="Arial" w:hAnsi="Arial" w:cs="Arial"/>
          <w:sz w:val="26"/>
          <w:szCs w:val="26"/>
        </w:rPr>
      </w:pPr>
      <w:r>
        <w:rPr>
          <w:rFonts w:ascii="Arial" w:hAnsi="Arial" w:cs="Arial"/>
          <w:sz w:val="26"/>
          <w:szCs w:val="26"/>
        </w:rPr>
        <w:t xml:space="preserve">Chaque élève dispose d'une fiche avec un labyrinthe. </w:t>
      </w:r>
    </w:p>
    <w:p w:rsidR="00B320C3" w:rsidRDefault="00B320C3" w:rsidP="00B320C3">
      <w:pPr>
        <w:widowControl w:val="0"/>
        <w:autoSpaceDE w:val="0"/>
        <w:autoSpaceDN w:val="0"/>
        <w:adjustRightInd w:val="0"/>
        <w:rPr>
          <w:rFonts w:ascii="Arial" w:hAnsi="Arial" w:cs="Arial"/>
          <w:sz w:val="26"/>
          <w:szCs w:val="26"/>
        </w:rPr>
      </w:pPr>
      <w:r>
        <w:rPr>
          <w:rFonts w:ascii="Arial" w:hAnsi="Arial" w:cs="Arial"/>
          <w:sz w:val="26"/>
          <w:szCs w:val="26"/>
        </w:rPr>
        <w:t xml:space="preserve">Le maître possède un labyrinthe avec des parcours tracés. </w:t>
      </w:r>
    </w:p>
    <w:p w:rsidR="00B320C3" w:rsidRDefault="00B320C3" w:rsidP="00B320C3">
      <w:pPr>
        <w:widowControl w:val="0"/>
        <w:autoSpaceDE w:val="0"/>
        <w:autoSpaceDN w:val="0"/>
        <w:adjustRightInd w:val="0"/>
        <w:rPr>
          <w:rFonts w:ascii="Arial" w:hAnsi="Arial" w:cs="Arial"/>
          <w:sz w:val="26"/>
          <w:szCs w:val="26"/>
        </w:rPr>
      </w:pPr>
      <w:r>
        <w:rPr>
          <w:rFonts w:ascii="Arial" w:hAnsi="Arial" w:cs="Arial"/>
          <w:sz w:val="26"/>
          <w:szCs w:val="26"/>
        </w:rPr>
        <w:t xml:space="preserve">Chaque enfant place son doigt sur la case « départ ». Le maître désigne, l'une après l'autre, les cases sur lesquelles l'enfant va déplacer son doigt (ou un pion). A la fin du parcours il demande aux élèves quelle est la case d'arrivée. </w:t>
      </w:r>
    </w:p>
    <w:p w:rsidR="00B320C3" w:rsidRDefault="00B320C3" w:rsidP="00B320C3">
      <w:pPr>
        <w:widowControl w:val="0"/>
        <w:autoSpaceDE w:val="0"/>
        <w:autoSpaceDN w:val="0"/>
        <w:adjustRightInd w:val="0"/>
        <w:rPr>
          <w:rFonts w:ascii="Arial" w:hAnsi="Arial" w:cs="Arial"/>
          <w:sz w:val="26"/>
          <w:szCs w:val="26"/>
        </w:rPr>
      </w:pPr>
      <w:r>
        <w:rPr>
          <w:rFonts w:ascii="Arial" w:hAnsi="Arial" w:cs="Arial"/>
          <w:b/>
          <w:bCs/>
          <w:sz w:val="26"/>
          <w:szCs w:val="26"/>
        </w:rPr>
        <w:t>Évaluation :</w:t>
      </w:r>
      <w:r>
        <w:rPr>
          <w:rFonts w:ascii="Arial" w:hAnsi="Arial" w:cs="Arial"/>
          <w:sz w:val="26"/>
          <w:szCs w:val="26"/>
        </w:rPr>
        <w:t xml:space="preserve"> </w:t>
      </w:r>
    </w:p>
    <w:p w:rsidR="00B320C3" w:rsidRDefault="00B320C3" w:rsidP="00B320C3">
      <w:pPr>
        <w:widowControl w:val="0"/>
        <w:autoSpaceDE w:val="0"/>
        <w:autoSpaceDN w:val="0"/>
        <w:adjustRightInd w:val="0"/>
        <w:rPr>
          <w:rFonts w:ascii="Arial" w:hAnsi="Arial" w:cs="Arial"/>
          <w:sz w:val="26"/>
          <w:szCs w:val="26"/>
        </w:rPr>
      </w:pPr>
      <w:proofErr w:type="gramStart"/>
      <w:r>
        <w:rPr>
          <w:rFonts w:ascii="Arial" w:hAnsi="Arial" w:cs="Arial"/>
          <w:sz w:val="26"/>
          <w:szCs w:val="26"/>
        </w:rPr>
        <w:t>possibilité</w:t>
      </w:r>
      <w:proofErr w:type="gramEnd"/>
      <w:r>
        <w:rPr>
          <w:rFonts w:ascii="Arial" w:hAnsi="Arial" w:cs="Arial"/>
          <w:sz w:val="26"/>
          <w:szCs w:val="26"/>
        </w:rPr>
        <w:t xml:space="preserve"> de faire tracer les parcours aux élèves, en leur demandant d'utiliser une couleur différente pour chaque nouveau parcours. </w:t>
      </w:r>
    </w:p>
    <w:p w:rsidR="00B320C3" w:rsidRDefault="00B320C3" w:rsidP="00B320C3">
      <w:pPr>
        <w:widowControl w:val="0"/>
        <w:autoSpaceDE w:val="0"/>
        <w:autoSpaceDN w:val="0"/>
        <w:adjustRightInd w:val="0"/>
        <w:rPr>
          <w:rFonts w:ascii="Arial" w:hAnsi="Arial" w:cs="Arial"/>
          <w:sz w:val="26"/>
          <w:szCs w:val="26"/>
        </w:rPr>
      </w:pPr>
      <w:r>
        <w:rPr>
          <w:rFonts w:ascii="Arial" w:hAnsi="Arial" w:cs="Arial"/>
          <w:b/>
          <w:bCs/>
          <w:sz w:val="26"/>
          <w:szCs w:val="26"/>
        </w:rPr>
        <w:t xml:space="preserve">Variantes : </w:t>
      </w:r>
    </w:p>
    <w:tbl>
      <w:tblPr>
        <w:tblW w:w="0" w:type="auto"/>
        <w:tblBorders>
          <w:top w:val="nil"/>
          <w:left w:val="nil"/>
          <w:right w:val="nil"/>
        </w:tblBorders>
        <w:tblLayout w:type="fixed"/>
        <w:tblLook w:val="0000" w:firstRow="0" w:lastRow="0" w:firstColumn="0" w:lastColumn="0" w:noHBand="0" w:noVBand="0"/>
      </w:tblPr>
      <w:tblGrid>
        <w:gridCol w:w="580"/>
        <w:gridCol w:w="8640"/>
      </w:tblGrid>
      <w:tr w:rsidR="00B320C3">
        <w:tblPrEx>
          <w:tblCellMar>
            <w:top w:w="0" w:type="dxa"/>
            <w:bottom w:w="0" w:type="dxa"/>
          </w:tblCellMar>
        </w:tblPrEx>
        <w:tc>
          <w:tcPr>
            <w:tcW w:w="580" w:type="dxa"/>
            <w:vAlign w:val="center"/>
          </w:tcPr>
          <w:p w:rsidR="00B320C3" w:rsidRDefault="00B320C3">
            <w:pPr>
              <w:widowControl w:val="0"/>
              <w:autoSpaceDE w:val="0"/>
              <w:autoSpaceDN w:val="0"/>
              <w:adjustRightInd w:val="0"/>
              <w:rPr>
                <w:rFonts w:ascii="Arial" w:hAnsi="Arial" w:cs="Arial"/>
                <w:sz w:val="32"/>
                <w:szCs w:val="32"/>
              </w:rPr>
            </w:pPr>
          </w:p>
        </w:tc>
        <w:tc>
          <w:tcPr>
            <w:tcW w:w="4280" w:type="dxa"/>
            <w:vAlign w:val="center"/>
          </w:tcPr>
          <w:p w:rsidR="00B320C3" w:rsidRDefault="00B320C3">
            <w:pPr>
              <w:widowControl w:val="0"/>
              <w:autoSpaceDE w:val="0"/>
              <w:autoSpaceDN w:val="0"/>
              <w:adjustRightInd w:val="0"/>
              <w:rPr>
                <w:rFonts w:ascii="Arial" w:hAnsi="Arial" w:cs="Arial"/>
                <w:sz w:val="26"/>
                <w:szCs w:val="26"/>
              </w:rPr>
            </w:pPr>
            <w:r>
              <w:rPr>
                <w:rFonts w:ascii="Arial" w:hAnsi="Arial" w:cs="Arial"/>
                <w:sz w:val="26"/>
                <w:szCs w:val="26"/>
              </w:rPr>
              <w:t xml:space="preserve">- faire lire le parcours par un enfant ; </w:t>
            </w:r>
          </w:p>
        </w:tc>
      </w:tr>
      <w:tr w:rsidR="00B320C3">
        <w:tblPrEx>
          <w:tblCellMar>
            <w:top w:w="0" w:type="dxa"/>
            <w:bottom w:w="0" w:type="dxa"/>
          </w:tblCellMar>
        </w:tblPrEx>
        <w:tc>
          <w:tcPr>
            <w:tcW w:w="580" w:type="dxa"/>
            <w:vAlign w:val="center"/>
          </w:tcPr>
          <w:p w:rsidR="00B320C3" w:rsidRDefault="00B320C3">
            <w:pPr>
              <w:widowControl w:val="0"/>
              <w:autoSpaceDE w:val="0"/>
              <w:autoSpaceDN w:val="0"/>
              <w:adjustRightInd w:val="0"/>
              <w:rPr>
                <w:rFonts w:ascii="Arial" w:hAnsi="Arial" w:cs="Arial"/>
                <w:sz w:val="32"/>
                <w:szCs w:val="32"/>
              </w:rPr>
            </w:pPr>
          </w:p>
        </w:tc>
        <w:tc>
          <w:tcPr>
            <w:tcW w:w="8640" w:type="dxa"/>
            <w:vAlign w:val="center"/>
          </w:tcPr>
          <w:p w:rsidR="00B320C3" w:rsidRDefault="00B320C3">
            <w:pPr>
              <w:widowControl w:val="0"/>
              <w:autoSpaceDE w:val="0"/>
              <w:autoSpaceDN w:val="0"/>
              <w:adjustRightInd w:val="0"/>
              <w:rPr>
                <w:rFonts w:ascii="Arial" w:hAnsi="Arial" w:cs="Arial"/>
                <w:sz w:val="26"/>
                <w:szCs w:val="26"/>
              </w:rPr>
            </w:pPr>
            <w:r>
              <w:rPr>
                <w:rFonts w:ascii="Arial" w:hAnsi="Arial" w:cs="Arial"/>
                <w:sz w:val="26"/>
                <w:szCs w:val="26"/>
              </w:rPr>
              <w:t xml:space="preserve">- faire jouer à deux en donnant un labyrinthe vierge à chaque joueur. Chacun trace un parcours sur sa fiche et le dicte à son camarade. A la fin de la partie, les deux joueurs comparent leur labyrinthe. Pour cela il faut que le parcours choisi par le meneur de jeu et celui du joueur soient de la même couleur. Ensuite les rôles sont inversés avec un parcours d'une couleur différente ; </w:t>
            </w:r>
          </w:p>
        </w:tc>
      </w:tr>
      <w:tr w:rsidR="00B320C3">
        <w:tblPrEx>
          <w:tblCellMar>
            <w:top w:w="0" w:type="dxa"/>
            <w:bottom w:w="0" w:type="dxa"/>
          </w:tblCellMar>
        </w:tblPrEx>
        <w:tc>
          <w:tcPr>
            <w:tcW w:w="580" w:type="dxa"/>
            <w:vAlign w:val="center"/>
          </w:tcPr>
          <w:p w:rsidR="00B320C3" w:rsidRDefault="00B320C3">
            <w:pPr>
              <w:widowControl w:val="0"/>
              <w:autoSpaceDE w:val="0"/>
              <w:autoSpaceDN w:val="0"/>
              <w:adjustRightInd w:val="0"/>
              <w:rPr>
                <w:rFonts w:ascii="Arial" w:hAnsi="Arial" w:cs="Arial"/>
                <w:sz w:val="32"/>
                <w:szCs w:val="32"/>
              </w:rPr>
            </w:pPr>
          </w:p>
        </w:tc>
        <w:tc>
          <w:tcPr>
            <w:tcW w:w="7180" w:type="dxa"/>
            <w:vAlign w:val="center"/>
          </w:tcPr>
          <w:p w:rsidR="00B320C3" w:rsidRDefault="00B320C3">
            <w:pPr>
              <w:widowControl w:val="0"/>
              <w:autoSpaceDE w:val="0"/>
              <w:autoSpaceDN w:val="0"/>
              <w:adjustRightInd w:val="0"/>
              <w:rPr>
                <w:rFonts w:ascii="Arial" w:hAnsi="Arial" w:cs="Arial"/>
                <w:sz w:val="26"/>
                <w:szCs w:val="26"/>
              </w:rPr>
            </w:pPr>
            <w:r>
              <w:rPr>
                <w:rFonts w:ascii="Arial" w:hAnsi="Arial" w:cs="Arial"/>
                <w:sz w:val="26"/>
                <w:szCs w:val="26"/>
              </w:rPr>
              <w:t xml:space="preserve">- vocabulaire : nombres ; fruits ; parties du corps ; animaux... </w:t>
            </w:r>
          </w:p>
        </w:tc>
      </w:tr>
    </w:tbl>
    <w:p w:rsidR="00AA3D17" w:rsidRDefault="00AA3D17">
      <w:bookmarkStart w:id="0" w:name="_GoBack"/>
      <w:bookmarkEnd w:id="0"/>
    </w:p>
    <w:sectPr w:rsidR="00AA3D17" w:rsidSect="00AA3D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C3"/>
    <w:rsid w:val="00AA3D17"/>
    <w:rsid w:val="00B320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3B7B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0C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320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0C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320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dp-limousin.fr/ressources/cddp23/cddp_eile/thema/activ15-1.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1252</Characters>
  <Application>Microsoft Macintosh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Sens-Cazenave Maguelone</dc:creator>
  <cp:keywords/>
  <dc:description/>
  <cp:lastModifiedBy>Sens-Cazenave Maguelone</cp:lastModifiedBy>
  <cp:revision>1</cp:revision>
  <dcterms:created xsi:type="dcterms:W3CDTF">2011-05-22T17:28:00Z</dcterms:created>
  <dcterms:modified xsi:type="dcterms:W3CDTF">2011-05-22T17:29:00Z</dcterms:modified>
</cp:coreProperties>
</file>