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right w:val="nil"/>
        </w:tblBorders>
        <w:tblLayout w:type="fixed"/>
        <w:tblLook w:val="0000" w:firstRow="0" w:lastRow="0" w:firstColumn="0" w:lastColumn="0" w:noHBand="0" w:noVBand="0"/>
      </w:tblPr>
      <w:tblGrid>
        <w:gridCol w:w="2820"/>
      </w:tblGrid>
      <w:tr w:rsidR="00F76535">
        <w:tblPrEx>
          <w:tblCellMar>
            <w:top w:w="0" w:type="dxa"/>
            <w:bottom w:w="0" w:type="dxa"/>
          </w:tblCellMar>
        </w:tblPrEx>
        <w:tc>
          <w:tcPr>
            <w:tcW w:w="2820" w:type="dxa"/>
            <w:tcMar>
              <w:top w:w="160" w:type="nil"/>
              <w:left w:w="160" w:type="nil"/>
              <w:bottom w:w="160" w:type="nil"/>
              <w:right w:w="160" w:type="nil"/>
            </w:tcMar>
            <w:vAlign w:val="center"/>
          </w:tcPr>
          <w:p w:rsidR="00F76535" w:rsidRDefault="00F76535">
            <w:pPr>
              <w:widowControl w:val="0"/>
              <w:autoSpaceDE w:val="0"/>
              <w:autoSpaceDN w:val="0"/>
              <w:adjustRightInd w:val="0"/>
              <w:rPr>
                <w:rFonts w:ascii="Verdana" w:hAnsi="Verdana" w:cs="Verdana"/>
                <w:sz w:val="32"/>
                <w:szCs w:val="32"/>
              </w:rPr>
            </w:pPr>
            <w:r>
              <w:rPr>
                <w:rFonts w:ascii="Arial" w:hAnsi="Arial" w:cs="Arial"/>
                <w:noProof/>
                <w:sz w:val="26"/>
                <w:szCs w:val="26"/>
              </w:rPr>
              <w:drawing>
                <wp:inline distT="0" distB="0" distL="0" distR="0">
                  <wp:extent cx="1790700" cy="673100"/>
                  <wp:effectExtent l="0" t="0" r="1270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673100"/>
                          </a:xfrm>
                          <a:prstGeom prst="rect">
                            <a:avLst/>
                          </a:prstGeom>
                          <a:noFill/>
                          <a:ln>
                            <a:noFill/>
                          </a:ln>
                        </pic:spPr>
                      </pic:pic>
                    </a:graphicData>
                  </a:graphic>
                </wp:inline>
              </w:drawing>
            </w:r>
          </w:p>
        </w:tc>
      </w:tr>
    </w:tbl>
    <w:p w:rsidR="00F76535" w:rsidRDefault="00F76535" w:rsidP="00F76535">
      <w:pPr>
        <w:widowControl w:val="0"/>
        <w:autoSpaceDE w:val="0"/>
        <w:autoSpaceDN w:val="0"/>
        <w:adjustRightInd w:val="0"/>
        <w:rPr>
          <w:rFonts w:ascii="Arial" w:hAnsi="Arial" w:cs="Arial"/>
          <w:sz w:val="32"/>
          <w:szCs w:val="32"/>
        </w:rPr>
      </w:pPr>
      <w:r>
        <w:rPr>
          <w:rFonts w:ascii="Verdana" w:hAnsi="Verdana" w:cs="Verdana"/>
          <w:b/>
          <w:bCs/>
          <w:color w:val="052456"/>
          <w:sz w:val="32"/>
          <w:szCs w:val="32"/>
        </w:rPr>
        <w:t>Memory</w:t>
      </w:r>
    </w:p>
    <w:p w:rsidR="00F76535" w:rsidRDefault="00F76535" w:rsidP="00F76535">
      <w:pPr>
        <w:widowControl w:val="0"/>
        <w:autoSpaceDE w:val="0"/>
        <w:autoSpaceDN w:val="0"/>
        <w:adjustRightInd w:val="0"/>
        <w:rPr>
          <w:rFonts w:ascii="Arial" w:hAnsi="Arial" w:cs="Arial"/>
          <w:sz w:val="26"/>
          <w:szCs w:val="26"/>
        </w:rPr>
      </w:pPr>
    </w:p>
    <w:p w:rsidR="00F76535" w:rsidRDefault="00F76535" w:rsidP="00F76535">
      <w:pPr>
        <w:widowControl w:val="0"/>
        <w:autoSpaceDE w:val="0"/>
        <w:autoSpaceDN w:val="0"/>
        <w:adjustRightInd w:val="0"/>
        <w:rPr>
          <w:rFonts w:ascii="Arial" w:hAnsi="Arial" w:cs="Arial"/>
          <w:sz w:val="26"/>
          <w:szCs w:val="26"/>
        </w:rPr>
      </w:pPr>
    </w:p>
    <w:p w:rsidR="00F76535" w:rsidRDefault="00F76535" w:rsidP="00F76535">
      <w:pPr>
        <w:widowControl w:val="0"/>
        <w:autoSpaceDE w:val="0"/>
        <w:autoSpaceDN w:val="0"/>
        <w:adjustRightInd w:val="0"/>
        <w:spacing w:after="260"/>
        <w:rPr>
          <w:rFonts w:ascii="Arial" w:hAnsi="Arial" w:cs="Arial"/>
          <w:sz w:val="26"/>
          <w:szCs w:val="26"/>
        </w:rPr>
      </w:pPr>
    </w:p>
    <w:tbl>
      <w:tblPr>
        <w:tblW w:w="8540"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4302"/>
        <w:gridCol w:w="4238"/>
      </w:tblGrid>
      <w:tr w:rsidR="00F76535">
        <w:tblPrEx>
          <w:tblCellMar>
            <w:top w:w="0" w:type="dxa"/>
            <w:bottom w:w="0" w:type="dxa"/>
          </w:tblCellMar>
        </w:tblPrEx>
        <w:tc>
          <w:tcPr>
            <w:tcW w:w="406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F76535" w:rsidRDefault="00F76535">
            <w:pPr>
              <w:widowControl w:val="0"/>
              <w:autoSpaceDE w:val="0"/>
              <w:autoSpaceDN w:val="0"/>
              <w:adjustRightInd w:val="0"/>
              <w:rPr>
                <w:rFonts w:ascii="Arial" w:hAnsi="Arial" w:cs="Arial"/>
                <w:sz w:val="26"/>
                <w:szCs w:val="26"/>
              </w:rPr>
            </w:pPr>
            <w:r>
              <w:rPr>
                <w:rFonts w:ascii="Arial" w:hAnsi="Arial" w:cs="Arial"/>
                <w:sz w:val="26"/>
                <w:szCs w:val="26"/>
              </w:rPr>
              <w:t>Compétences exercées</w:t>
            </w:r>
          </w:p>
          <w:p w:rsidR="00F76535" w:rsidRDefault="00F76535">
            <w:pPr>
              <w:widowControl w:val="0"/>
              <w:autoSpaceDE w:val="0"/>
              <w:autoSpaceDN w:val="0"/>
              <w:adjustRightInd w:val="0"/>
              <w:rPr>
                <w:rFonts w:ascii="Arial" w:hAnsi="Arial" w:cs="Arial"/>
                <w:sz w:val="26"/>
                <w:szCs w:val="26"/>
              </w:rPr>
            </w:pPr>
            <w:r>
              <w:rPr>
                <w:rFonts w:ascii="Arial" w:hAnsi="Arial" w:cs="Arial"/>
                <w:b/>
                <w:bCs/>
                <w:sz w:val="26"/>
                <w:szCs w:val="26"/>
              </w:rPr>
              <w:t>- Mémoriser</w:t>
            </w:r>
          </w:p>
          <w:p w:rsidR="00F76535" w:rsidRDefault="00F76535">
            <w:pPr>
              <w:widowControl w:val="0"/>
              <w:autoSpaceDE w:val="0"/>
              <w:autoSpaceDN w:val="0"/>
              <w:adjustRightInd w:val="0"/>
              <w:rPr>
                <w:rFonts w:ascii="Arial" w:hAnsi="Arial" w:cs="Arial"/>
                <w:sz w:val="26"/>
                <w:szCs w:val="26"/>
              </w:rPr>
            </w:pPr>
            <w:r>
              <w:rPr>
                <w:rFonts w:ascii="Arial" w:hAnsi="Arial" w:cs="Arial"/>
                <w:b/>
                <w:bCs/>
                <w:sz w:val="26"/>
                <w:szCs w:val="26"/>
              </w:rPr>
              <w:t>- Connaître la graphie de mots usuels</w:t>
            </w:r>
          </w:p>
        </w:tc>
        <w:tc>
          <w:tcPr>
            <w:tcW w:w="400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F76535" w:rsidRDefault="00F76535">
            <w:pPr>
              <w:widowControl w:val="0"/>
              <w:autoSpaceDE w:val="0"/>
              <w:autoSpaceDN w:val="0"/>
              <w:adjustRightInd w:val="0"/>
              <w:rPr>
                <w:rFonts w:ascii="Arial" w:hAnsi="Arial" w:cs="Arial"/>
                <w:sz w:val="26"/>
                <w:szCs w:val="26"/>
              </w:rPr>
            </w:pPr>
            <w:r>
              <w:rPr>
                <w:rFonts w:ascii="Arial" w:hAnsi="Arial" w:cs="Arial"/>
                <w:sz w:val="26"/>
                <w:szCs w:val="26"/>
              </w:rPr>
              <w:t>Savoir-faire linguistiques</w:t>
            </w:r>
          </w:p>
          <w:p w:rsidR="00F76535" w:rsidRDefault="00F76535">
            <w:pPr>
              <w:widowControl w:val="0"/>
              <w:autoSpaceDE w:val="0"/>
              <w:autoSpaceDN w:val="0"/>
              <w:adjustRightInd w:val="0"/>
              <w:rPr>
                <w:rFonts w:ascii="Arial" w:hAnsi="Arial" w:cs="Arial"/>
                <w:sz w:val="26"/>
                <w:szCs w:val="26"/>
              </w:rPr>
            </w:pPr>
            <w:r>
              <w:rPr>
                <w:rFonts w:ascii="Arial" w:hAnsi="Arial" w:cs="Arial"/>
                <w:b/>
                <w:bCs/>
                <w:sz w:val="26"/>
                <w:szCs w:val="26"/>
              </w:rPr>
              <w:t>- Comprendre (écouter, lire)</w:t>
            </w:r>
          </w:p>
          <w:p w:rsidR="00F76535" w:rsidRDefault="00F76535">
            <w:pPr>
              <w:widowControl w:val="0"/>
              <w:autoSpaceDE w:val="0"/>
              <w:autoSpaceDN w:val="0"/>
              <w:adjustRightInd w:val="0"/>
              <w:rPr>
                <w:rFonts w:ascii="Arial" w:hAnsi="Arial" w:cs="Arial"/>
                <w:sz w:val="26"/>
                <w:szCs w:val="26"/>
              </w:rPr>
            </w:pPr>
          </w:p>
        </w:tc>
      </w:tr>
      <w:tr w:rsidR="00F76535">
        <w:tblPrEx>
          <w:tblBorders>
            <w:top w:val="none" w:sz="0" w:space="0" w:color="auto"/>
            <w:bottom w:val="single" w:sz="8" w:space="0" w:color="6D6D6D"/>
          </w:tblBorders>
          <w:tblCellMar>
            <w:top w:w="0" w:type="dxa"/>
            <w:bottom w:w="0" w:type="dxa"/>
          </w:tblCellMar>
        </w:tblPrEx>
        <w:tc>
          <w:tcPr>
            <w:tcW w:w="406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F76535" w:rsidRDefault="00F76535">
            <w:pPr>
              <w:widowControl w:val="0"/>
              <w:autoSpaceDE w:val="0"/>
              <w:autoSpaceDN w:val="0"/>
              <w:adjustRightInd w:val="0"/>
              <w:rPr>
                <w:rFonts w:ascii="Arial" w:hAnsi="Arial" w:cs="Arial"/>
                <w:sz w:val="26"/>
                <w:szCs w:val="26"/>
              </w:rPr>
            </w:pPr>
            <w:r>
              <w:rPr>
                <w:rFonts w:ascii="Arial" w:hAnsi="Arial" w:cs="Arial"/>
                <w:sz w:val="26"/>
                <w:szCs w:val="26"/>
              </w:rPr>
              <w:t>Organisation de la classe</w:t>
            </w:r>
          </w:p>
          <w:p w:rsidR="00F76535" w:rsidRDefault="00F76535">
            <w:pPr>
              <w:widowControl w:val="0"/>
              <w:autoSpaceDE w:val="0"/>
              <w:autoSpaceDN w:val="0"/>
              <w:adjustRightInd w:val="0"/>
              <w:rPr>
                <w:rFonts w:ascii="Arial" w:hAnsi="Arial" w:cs="Arial"/>
                <w:sz w:val="26"/>
                <w:szCs w:val="26"/>
              </w:rPr>
            </w:pPr>
            <w:r>
              <w:rPr>
                <w:rFonts w:ascii="Arial" w:hAnsi="Arial" w:cs="Arial"/>
                <w:b/>
                <w:bCs/>
                <w:sz w:val="26"/>
                <w:szCs w:val="26"/>
              </w:rPr>
              <w:t>- Par paires</w:t>
            </w:r>
          </w:p>
          <w:p w:rsidR="00F76535" w:rsidRDefault="00F76535">
            <w:pPr>
              <w:widowControl w:val="0"/>
              <w:autoSpaceDE w:val="0"/>
              <w:autoSpaceDN w:val="0"/>
              <w:adjustRightInd w:val="0"/>
              <w:rPr>
                <w:rFonts w:ascii="Arial" w:hAnsi="Arial" w:cs="Arial"/>
                <w:sz w:val="26"/>
                <w:szCs w:val="26"/>
              </w:rPr>
            </w:pPr>
            <w:r>
              <w:rPr>
                <w:rFonts w:ascii="Arial" w:hAnsi="Arial" w:cs="Arial"/>
                <w:b/>
                <w:bCs/>
                <w:sz w:val="26"/>
                <w:szCs w:val="26"/>
              </w:rPr>
              <w:t>- Maître / classe</w:t>
            </w:r>
          </w:p>
        </w:tc>
        <w:tc>
          <w:tcPr>
            <w:tcW w:w="400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F76535" w:rsidRDefault="00F76535">
            <w:pPr>
              <w:widowControl w:val="0"/>
              <w:autoSpaceDE w:val="0"/>
              <w:autoSpaceDN w:val="0"/>
              <w:adjustRightInd w:val="0"/>
              <w:rPr>
                <w:rFonts w:ascii="Arial" w:hAnsi="Arial" w:cs="Arial"/>
                <w:sz w:val="26"/>
                <w:szCs w:val="26"/>
              </w:rPr>
            </w:pPr>
          </w:p>
          <w:p w:rsidR="00F76535" w:rsidRDefault="00F76535">
            <w:pPr>
              <w:widowControl w:val="0"/>
              <w:autoSpaceDE w:val="0"/>
              <w:autoSpaceDN w:val="0"/>
              <w:adjustRightInd w:val="0"/>
              <w:rPr>
                <w:rFonts w:ascii="Arial" w:hAnsi="Arial" w:cs="Arial"/>
                <w:sz w:val="26"/>
                <w:szCs w:val="26"/>
              </w:rPr>
            </w:pPr>
            <w:r>
              <w:rPr>
                <w:rFonts w:ascii="Arial" w:hAnsi="Arial" w:cs="Arial"/>
                <w:b/>
                <w:bCs/>
                <w:sz w:val="26"/>
                <w:szCs w:val="26"/>
              </w:rPr>
              <w:t>Avec matériel spécifique</w:t>
            </w:r>
          </w:p>
        </w:tc>
      </w:tr>
    </w:tbl>
    <w:p w:rsidR="00F76535" w:rsidRDefault="00F76535" w:rsidP="00F76535">
      <w:pPr>
        <w:widowControl w:val="0"/>
        <w:autoSpaceDE w:val="0"/>
        <w:autoSpaceDN w:val="0"/>
        <w:adjustRightInd w:val="0"/>
        <w:spacing w:after="260"/>
        <w:rPr>
          <w:rFonts w:ascii="Arial" w:hAnsi="Arial" w:cs="Arial"/>
          <w:sz w:val="26"/>
          <w:szCs w:val="26"/>
        </w:rPr>
      </w:pPr>
    </w:p>
    <w:p w:rsidR="00F76535" w:rsidRDefault="00F76535" w:rsidP="00F76535">
      <w:pPr>
        <w:widowControl w:val="0"/>
        <w:autoSpaceDE w:val="0"/>
        <w:autoSpaceDN w:val="0"/>
        <w:adjustRightInd w:val="0"/>
        <w:rPr>
          <w:rFonts w:ascii="Arial" w:hAnsi="Arial" w:cs="Arial"/>
          <w:sz w:val="26"/>
          <w:szCs w:val="26"/>
        </w:rPr>
      </w:pPr>
      <w:r>
        <w:rPr>
          <w:rFonts w:ascii="Arial" w:hAnsi="Arial" w:cs="Arial"/>
          <w:b/>
          <w:bCs/>
          <w:sz w:val="26"/>
          <w:szCs w:val="26"/>
        </w:rPr>
        <w:t xml:space="preserve">Objectif visé </w:t>
      </w:r>
      <w:r>
        <w:rPr>
          <w:rFonts w:ascii="Arial" w:hAnsi="Arial" w:cs="Arial"/>
          <w:sz w:val="26"/>
          <w:szCs w:val="26"/>
        </w:rPr>
        <w:t xml:space="preserve">: acquérir les formes écrites d'énoncés ou de mots déjà connus oralement. </w:t>
      </w:r>
    </w:p>
    <w:p w:rsidR="00F76535" w:rsidRDefault="00F76535" w:rsidP="00F76535">
      <w:pPr>
        <w:widowControl w:val="0"/>
        <w:autoSpaceDE w:val="0"/>
        <w:autoSpaceDN w:val="0"/>
        <w:adjustRightInd w:val="0"/>
        <w:rPr>
          <w:rFonts w:ascii="Arial" w:hAnsi="Arial" w:cs="Arial"/>
          <w:sz w:val="26"/>
          <w:szCs w:val="26"/>
        </w:rPr>
      </w:pPr>
      <w:r>
        <w:rPr>
          <w:rFonts w:ascii="Verdana" w:hAnsi="Verdana" w:cs="Verdana"/>
          <w:b/>
          <w:bCs/>
          <w:color w:val="052456"/>
          <w:sz w:val="26"/>
          <w:szCs w:val="26"/>
        </w:rPr>
        <w:t>Connaissances préalables</w:t>
      </w:r>
    </w:p>
    <w:p w:rsidR="00F76535" w:rsidRDefault="00F76535" w:rsidP="00F76535">
      <w:pPr>
        <w:widowControl w:val="0"/>
        <w:autoSpaceDE w:val="0"/>
        <w:autoSpaceDN w:val="0"/>
        <w:adjustRightInd w:val="0"/>
        <w:rPr>
          <w:rFonts w:ascii="Arial" w:hAnsi="Arial" w:cs="Arial"/>
          <w:sz w:val="26"/>
          <w:szCs w:val="26"/>
        </w:rPr>
      </w:pPr>
      <w:r>
        <w:rPr>
          <w:rFonts w:ascii="Arial" w:hAnsi="Arial" w:cs="Arial"/>
          <w:sz w:val="26"/>
          <w:szCs w:val="26"/>
        </w:rPr>
        <w:t xml:space="preserve">Bonne connaissance des mots ou des énoncés à l'oral. </w:t>
      </w:r>
    </w:p>
    <w:p w:rsidR="00F76535" w:rsidRDefault="00F76535" w:rsidP="00F76535">
      <w:pPr>
        <w:widowControl w:val="0"/>
        <w:autoSpaceDE w:val="0"/>
        <w:autoSpaceDN w:val="0"/>
        <w:adjustRightInd w:val="0"/>
        <w:rPr>
          <w:rFonts w:ascii="Arial" w:hAnsi="Arial" w:cs="Arial"/>
          <w:sz w:val="26"/>
          <w:szCs w:val="26"/>
        </w:rPr>
      </w:pPr>
      <w:r>
        <w:rPr>
          <w:rFonts w:ascii="Verdana" w:hAnsi="Verdana" w:cs="Verdana"/>
          <w:b/>
          <w:bCs/>
          <w:color w:val="052456"/>
          <w:sz w:val="26"/>
          <w:szCs w:val="26"/>
        </w:rPr>
        <w:t>Matériel</w:t>
      </w:r>
    </w:p>
    <w:p w:rsidR="00F76535" w:rsidRDefault="00F76535" w:rsidP="00F76535">
      <w:pPr>
        <w:widowControl w:val="0"/>
        <w:autoSpaceDE w:val="0"/>
        <w:autoSpaceDN w:val="0"/>
        <w:adjustRightInd w:val="0"/>
        <w:rPr>
          <w:rFonts w:ascii="Arial" w:hAnsi="Arial" w:cs="Arial"/>
          <w:sz w:val="26"/>
          <w:szCs w:val="26"/>
        </w:rPr>
      </w:pPr>
      <w:r>
        <w:rPr>
          <w:rFonts w:ascii="Arial" w:hAnsi="Arial" w:cs="Arial"/>
          <w:sz w:val="26"/>
          <w:szCs w:val="26"/>
        </w:rPr>
        <w:t xml:space="preserve">Le jeu nécessite un double </w:t>
      </w:r>
      <w:hyperlink r:id="rId6" w:history="1">
        <w:r>
          <w:rPr>
            <w:rFonts w:ascii="Arial" w:hAnsi="Arial" w:cs="Arial"/>
            <w:color w:val="0000F5"/>
            <w:sz w:val="26"/>
            <w:szCs w:val="26"/>
            <w:u w:val="single" w:color="0000F5"/>
          </w:rPr>
          <w:t>lot de cartes</w:t>
        </w:r>
      </w:hyperlink>
      <w:r>
        <w:rPr>
          <w:rFonts w:ascii="Arial" w:hAnsi="Arial" w:cs="Arial"/>
          <w:sz w:val="26"/>
          <w:szCs w:val="26"/>
        </w:rPr>
        <w:t xml:space="preserve"> (</w:t>
      </w:r>
      <w:proofErr w:type="spellStart"/>
      <w:r>
        <w:rPr>
          <w:rFonts w:ascii="Arial" w:hAnsi="Arial" w:cs="Arial"/>
          <w:sz w:val="26"/>
          <w:szCs w:val="26"/>
        </w:rPr>
        <w:t>pdf</w:t>
      </w:r>
      <w:proofErr w:type="spellEnd"/>
      <w:r>
        <w:rPr>
          <w:rFonts w:ascii="Arial" w:hAnsi="Arial" w:cs="Arial"/>
          <w:sz w:val="26"/>
          <w:szCs w:val="26"/>
        </w:rPr>
        <w:t xml:space="preserve">, 57 Ko) avec un verso de couleurs différentes. Les élèves peuvent fabriquer leur jeu pour jouer à deux ; dans le cas de jeu collectif, il faut prévoir de grandes cartes plastifiées. </w:t>
      </w:r>
    </w:p>
    <w:p w:rsidR="00F76535" w:rsidRDefault="00F76535" w:rsidP="00F76535">
      <w:pPr>
        <w:widowControl w:val="0"/>
        <w:autoSpaceDE w:val="0"/>
        <w:autoSpaceDN w:val="0"/>
        <w:adjustRightInd w:val="0"/>
        <w:rPr>
          <w:rFonts w:ascii="Arial" w:hAnsi="Arial" w:cs="Arial"/>
          <w:sz w:val="26"/>
          <w:szCs w:val="26"/>
        </w:rPr>
      </w:pPr>
      <w:r>
        <w:rPr>
          <w:rFonts w:ascii="Arial" w:hAnsi="Arial" w:cs="Arial"/>
          <w:sz w:val="26"/>
          <w:szCs w:val="26"/>
        </w:rPr>
        <w:t>(</w:t>
      </w:r>
      <w:proofErr w:type="gramStart"/>
      <w:r>
        <w:rPr>
          <w:rFonts w:ascii="Arial" w:hAnsi="Arial" w:cs="Arial"/>
          <w:sz w:val="26"/>
          <w:szCs w:val="26"/>
        </w:rPr>
        <w:t>matériel</w:t>
      </w:r>
      <w:proofErr w:type="gramEnd"/>
      <w:r>
        <w:rPr>
          <w:rFonts w:ascii="Arial" w:hAnsi="Arial" w:cs="Arial"/>
          <w:sz w:val="26"/>
          <w:szCs w:val="26"/>
        </w:rPr>
        <w:t xml:space="preserve"> proposé en langue anglaise) </w:t>
      </w:r>
    </w:p>
    <w:p w:rsidR="00F76535" w:rsidRDefault="00F76535" w:rsidP="00F76535">
      <w:pPr>
        <w:widowControl w:val="0"/>
        <w:autoSpaceDE w:val="0"/>
        <w:autoSpaceDN w:val="0"/>
        <w:adjustRightInd w:val="0"/>
        <w:rPr>
          <w:rFonts w:ascii="Arial" w:hAnsi="Arial" w:cs="Arial"/>
          <w:sz w:val="26"/>
          <w:szCs w:val="26"/>
        </w:rPr>
      </w:pPr>
      <w:r>
        <w:rPr>
          <w:rFonts w:ascii="Verdana" w:hAnsi="Verdana" w:cs="Verdana"/>
          <w:b/>
          <w:bCs/>
          <w:color w:val="052456"/>
          <w:sz w:val="26"/>
          <w:szCs w:val="26"/>
        </w:rPr>
        <w:t>Déroulement</w:t>
      </w:r>
    </w:p>
    <w:p w:rsidR="00F76535" w:rsidRDefault="00F76535" w:rsidP="00F76535">
      <w:pPr>
        <w:widowControl w:val="0"/>
        <w:autoSpaceDE w:val="0"/>
        <w:autoSpaceDN w:val="0"/>
        <w:adjustRightInd w:val="0"/>
        <w:rPr>
          <w:rFonts w:ascii="Arial" w:hAnsi="Arial" w:cs="Arial"/>
          <w:sz w:val="26"/>
          <w:szCs w:val="26"/>
        </w:rPr>
      </w:pPr>
      <w:r>
        <w:rPr>
          <w:rFonts w:ascii="Arial" w:hAnsi="Arial" w:cs="Arial"/>
          <w:sz w:val="26"/>
          <w:szCs w:val="26"/>
        </w:rPr>
        <w:t xml:space="preserve">Dans tous les cas : </w:t>
      </w:r>
    </w:p>
    <w:tbl>
      <w:tblPr>
        <w:tblW w:w="0" w:type="auto"/>
        <w:tblBorders>
          <w:top w:val="nil"/>
          <w:left w:val="nil"/>
          <w:right w:val="nil"/>
        </w:tblBorders>
        <w:tblLayout w:type="fixed"/>
        <w:tblLook w:val="0000" w:firstRow="0" w:lastRow="0" w:firstColumn="0" w:lastColumn="0" w:noHBand="0" w:noVBand="0"/>
      </w:tblPr>
      <w:tblGrid>
        <w:gridCol w:w="580"/>
        <w:gridCol w:w="8640"/>
      </w:tblGrid>
      <w:tr w:rsidR="00F76535">
        <w:tblPrEx>
          <w:tblCellMar>
            <w:top w:w="0" w:type="dxa"/>
            <w:bottom w:w="0" w:type="dxa"/>
          </w:tblCellMar>
        </w:tblPrEx>
        <w:tc>
          <w:tcPr>
            <w:tcW w:w="580" w:type="dxa"/>
            <w:vAlign w:val="center"/>
          </w:tcPr>
          <w:p w:rsidR="00F76535" w:rsidRDefault="00F76535">
            <w:pPr>
              <w:widowControl w:val="0"/>
              <w:autoSpaceDE w:val="0"/>
              <w:autoSpaceDN w:val="0"/>
              <w:adjustRightInd w:val="0"/>
              <w:rPr>
                <w:rFonts w:ascii="Arial" w:hAnsi="Arial" w:cs="Arial"/>
                <w:sz w:val="32"/>
                <w:szCs w:val="32"/>
              </w:rPr>
            </w:pPr>
          </w:p>
        </w:tc>
        <w:tc>
          <w:tcPr>
            <w:tcW w:w="8640" w:type="dxa"/>
            <w:vAlign w:val="center"/>
          </w:tcPr>
          <w:p w:rsidR="00F76535" w:rsidRDefault="00F76535">
            <w:pPr>
              <w:widowControl w:val="0"/>
              <w:autoSpaceDE w:val="0"/>
              <w:autoSpaceDN w:val="0"/>
              <w:adjustRightInd w:val="0"/>
              <w:rPr>
                <w:rFonts w:ascii="Arial" w:hAnsi="Arial" w:cs="Arial"/>
                <w:sz w:val="26"/>
                <w:szCs w:val="26"/>
              </w:rPr>
            </w:pPr>
            <w:r>
              <w:rPr>
                <w:rFonts w:ascii="Arial" w:hAnsi="Arial" w:cs="Arial"/>
                <w:sz w:val="26"/>
                <w:szCs w:val="26"/>
              </w:rPr>
              <w:t>- les deux lots de cartes sont retournés faces cachées soit sur la table, soit au tableau (on fixe au tableau avec de la pâte type "</w:t>
            </w:r>
            <w:proofErr w:type="spellStart"/>
            <w:r>
              <w:rPr>
                <w:rFonts w:ascii="Arial" w:hAnsi="Arial" w:cs="Arial"/>
                <w:sz w:val="26"/>
                <w:szCs w:val="26"/>
              </w:rPr>
              <w:t>patafix</w:t>
            </w:r>
            <w:proofErr w:type="spellEnd"/>
            <w:r>
              <w:rPr>
                <w:rFonts w:ascii="Arial" w:hAnsi="Arial" w:cs="Arial"/>
                <w:sz w:val="26"/>
                <w:szCs w:val="26"/>
              </w:rPr>
              <w:t xml:space="preserve">") ; </w:t>
            </w:r>
          </w:p>
        </w:tc>
      </w:tr>
      <w:tr w:rsidR="00F76535">
        <w:tblPrEx>
          <w:tblCellMar>
            <w:top w:w="0" w:type="dxa"/>
            <w:bottom w:w="0" w:type="dxa"/>
          </w:tblCellMar>
        </w:tblPrEx>
        <w:tc>
          <w:tcPr>
            <w:tcW w:w="580" w:type="dxa"/>
            <w:vAlign w:val="center"/>
          </w:tcPr>
          <w:p w:rsidR="00F76535" w:rsidRDefault="00F76535">
            <w:pPr>
              <w:widowControl w:val="0"/>
              <w:autoSpaceDE w:val="0"/>
              <w:autoSpaceDN w:val="0"/>
              <w:adjustRightInd w:val="0"/>
              <w:rPr>
                <w:rFonts w:ascii="Arial" w:hAnsi="Arial" w:cs="Arial"/>
                <w:sz w:val="32"/>
                <w:szCs w:val="32"/>
              </w:rPr>
            </w:pPr>
          </w:p>
        </w:tc>
        <w:tc>
          <w:tcPr>
            <w:tcW w:w="8460" w:type="dxa"/>
            <w:vAlign w:val="center"/>
          </w:tcPr>
          <w:p w:rsidR="00F76535" w:rsidRDefault="00F76535">
            <w:pPr>
              <w:widowControl w:val="0"/>
              <w:autoSpaceDE w:val="0"/>
              <w:autoSpaceDN w:val="0"/>
              <w:adjustRightInd w:val="0"/>
              <w:rPr>
                <w:rFonts w:ascii="Arial" w:hAnsi="Arial" w:cs="Arial"/>
                <w:sz w:val="26"/>
                <w:szCs w:val="26"/>
              </w:rPr>
            </w:pPr>
            <w:r>
              <w:rPr>
                <w:rFonts w:ascii="Arial" w:hAnsi="Arial" w:cs="Arial"/>
                <w:sz w:val="26"/>
                <w:szCs w:val="26"/>
              </w:rPr>
              <w:t xml:space="preserve">- chaque joueur va, à son tour, retourner deux cartes, une de chaque lot. </w:t>
            </w:r>
          </w:p>
        </w:tc>
      </w:tr>
    </w:tbl>
    <w:p w:rsidR="00F76535" w:rsidRDefault="00F76535" w:rsidP="00F76535">
      <w:pPr>
        <w:widowControl w:val="0"/>
        <w:autoSpaceDE w:val="0"/>
        <w:autoSpaceDN w:val="0"/>
        <w:adjustRightInd w:val="0"/>
        <w:rPr>
          <w:rFonts w:ascii="Arial" w:hAnsi="Arial" w:cs="Arial"/>
          <w:sz w:val="26"/>
          <w:szCs w:val="26"/>
        </w:rPr>
      </w:pPr>
      <w:r>
        <w:rPr>
          <w:rFonts w:ascii="Arial" w:hAnsi="Arial" w:cs="Arial"/>
          <w:sz w:val="26"/>
          <w:szCs w:val="26"/>
        </w:rPr>
        <w:t xml:space="preserve">S'il retourne deux cartes qui vont ensemble (images + écrit), il marque un point et ramasse les cartes. </w:t>
      </w:r>
    </w:p>
    <w:p w:rsidR="00F76535" w:rsidRDefault="00F76535" w:rsidP="00F76535">
      <w:pPr>
        <w:widowControl w:val="0"/>
        <w:autoSpaceDE w:val="0"/>
        <w:autoSpaceDN w:val="0"/>
        <w:adjustRightInd w:val="0"/>
        <w:rPr>
          <w:rFonts w:ascii="Arial" w:hAnsi="Arial" w:cs="Arial"/>
          <w:sz w:val="26"/>
          <w:szCs w:val="26"/>
        </w:rPr>
      </w:pPr>
      <w:r>
        <w:rPr>
          <w:rFonts w:ascii="Arial" w:hAnsi="Arial" w:cs="Arial"/>
          <w:sz w:val="26"/>
          <w:szCs w:val="26"/>
        </w:rPr>
        <w:t xml:space="preserve">Si les deux cartes retournées ne vont pas ensembles, le joueur les remet face contre table ou tableau, en prenant soin, ainsi que l'autre joueur de mémoriser le contenu et la place des cartes... </w:t>
      </w:r>
    </w:p>
    <w:p w:rsidR="00F76535" w:rsidRDefault="00F76535" w:rsidP="00F76535">
      <w:pPr>
        <w:widowControl w:val="0"/>
        <w:autoSpaceDE w:val="0"/>
        <w:autoSpaceDN w:val="0"/>
        <w:adjustRightInd w:val="0"/>
        <w:rPr>
          <w:rFonts w:ascii="Arial" w:hAnsi="Arial" w:cs="Arial"/>
          <w:sz w:val="26"/>
          <w:szCs w:val="26"/>
        </w:rPr>
      </w:pPr>
      <w:r>
        <w:rPr>
          <w:rFonts w:ascii="Arial" w:hAnsi="Arial" w:cs="Arial"/>
          <w:sz w:val="26"/>
          <w:szCs w:val="26"/>
        </w:rPr>
        <w:t xml:space="preserve">Le jeu se poursuit jusqu'à ce que toutes les cartes disparaissent, le gagnant étant celui qui a marqué le plus de points. </w:t>
      </w:r>
    </w:p>
    <w:p w:rsidR="00F76535" w:rsidRDefault="00F76535" w:rsidP="00F76535">
      <w:pPr>
        <w:widowControl w:val="0"/>
        <w:autoSpaceDE w:val="0"/>
        <w:autoSpaceDN w:val="0"/>
        <w:adjustRightInd w:val="0"/>
        <w:rPr>
          <w:rFonts w:ascii="Arial" w:hAnsi="Arial" w:cs="Arial"/>
          <w:sz w:val="26"/>
          <w:szCs w:val="26"/>
        </w:rPr>
      </w:pPr>
      <w:r>
        <w:rPr>
          <w:rFonts w:ascii="Arial" w:hAnsi="Arial" w:cs="Arial"/>
          <w:sz w:val="26"/>
          <w:szCs w:val="26"/>
        </w:rPr>
        <w:t xml:space="preserve">On peut envisager plusieurs parties, ce qui renforce l'intérêt du jeu. </w:t>
      </w:r>
    </w:p>
    <w:p w:rsidR="00F76535" w:rsidRDefault="00F76535" w:rsidP="00F76535">
      <w:pPr>
        <w:widowControl w:val="0"/>
        <w:autoSpaceDE w:val="0"/>
        <w:autoSpaceDN w:val="0"/>
        <w:adjustRightInd w:val="0"/>
        <w:rPr>
          <w:rFonts w:ascii="Arial" w:hAnsi="Arial" w:cs="Arial"/>
          <w:sz w:val="26"/>
          <w:szCs w:val="26"/>
        </w:rPr>
      </w:pPr>
      <w:r>
        <w:rPr>
          <w:rFonts w:ascii="Arial" w:hAnsi="Arial" w:cs="Arial"/>
          <w:b/>
          <w:bCs/>
          <w:sz w:val="26"/>
          <w:szCs w:val="26"/>
        </w:rPr>
        <w:t xml:space="preserve">Variantes : </w:t>
      </w:r>
    </w:p>
    <w:p w:rsidR="00AA3D17" w:rsidRDefault="00F76535" w:rsidP="00F76535">
      <w:r>
        <w:rPr>
          <w:rFonts w:ascii="Arial" w:hAnsi="Arial" w:cs="Arial"/>
          <w:sz w:val="26"/>
          <w:szCs w:val="26"/>
        </w:rPr>
        <w:t>Nombreuses ! On peut utiliser : les nombres, les couleurs, les parties du corps, tous les champs lexicaux.</w:t>
      </w:r>
      <w:bookmarkStart w:id="0" w:name="_GoBack"/>
      <w:bookmarkEnd w:id="0"/>
    </w:p>
    <w:sectPr w:rsidR="00AA3D17" w:rsidSect="00AA3D1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35"/>
    <w:rsid w:val="00AA3D17"/>
    <w:rsid w:val="00F765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3B7B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653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7653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653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7653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www.crdp-limousin.fr/ressources/cddp23/cddp_eile/thema/activ8-1.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1384</Characters>
  <Application>Microsoft Macintosh Word</Application>
  <DocSecurity>0</DocSecurity>
  <Lines>11</Lines>
  <Paragraphs>3</Paragraphs>
  <ScaleCrop>false</ScaleCrop>
  <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Sens-Cazenave Maguelone</dc:creator>
  <cp:keywords/>
  <dc:description/>
  <cp:lastModifiedBy>Sens-Cazenave Maguelone</cp:lastModifiedBy>
  <cp:revision>1</cp:revision>
  <dcterms:created xsi:type="dcterms:W3CDTF">2011-05-22T17:29:00Z</dcterms:created>
  <dcterms:modified xsi:type="dcterms:W3CDTF">2011-05-22T17:30:00Z</dcterms:modified>
</cp:coreProperties>
</file>